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6"/>
          <w:szCs w:val="36"/>
        </w:rPr>
        <w:t xml:space="preserve">PLNOMOCENSTVO</w:t>
      </w:r>
    </w:p>
    <w:p>
      <w:pPr>
        <w:spacing w:after="360"/>
        <w:jc w:val="center"/>
      </w:pPr>
      <w:r>
        <w:rPr>
          <w:sz w:val="24"/>
          <w:szCs w:val="24"/>
        </w:rPr>
        <w:t xml:space="preserve">na správu elektronických faktúr v službe ePodatelna24</w:t>
      </w:r>
    </w:p>
    <w:p>
      <w:pPr>
        <w:keepNext w:val="false"/>
        <w:spacing w:after="120" w:before="120"/>
      </w:pPr>
      <w:r>
        <w:t xml:space="preserve">Klient týmto splnomocňuje účtovnú kanceláriu, aby v jeho mene vybrala ePodatelna24 za jeho digitálneho poštára a spravovala v nej prijímanie a odosielanie jeho elektronických faktúr.</w:t>
      </w:r>
    </w:p>
    <w:p>
      <w:pPr>
        <w:keepNext/>
        <w:spacing w:after="120" w:before="120"/>
      </w:pPr>
      <w:r>
        <w:rPr>
          <w:b/>
          <w:bCs/>
        </w:rPr>
        <w:t xml:space="preserve">Splnomocniteľ (ďalej „Klient“):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Obchodné meno: </w:t>
      </w:r>
      <w:r>
        <w:rPr>
          <w:highlight w:val="yellow"/>
        </w:rPr>
        <w:t xml:space="preserve">[obchodné meno]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Sídlo: </w:t>
      </w:r>
      <w:r>
        <w:rPr>
          <w:highlight w:val="yellow"/>
        </w:rPr>
        <w:t xml:space="preserve">[adresa]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IČO: </w:t>
      </w:r>
      <w:r>
        <w:rPr>
          <w:highlight w:val="yellow"/>
        </w:rPr>
        <w:t xml:space="preserve">[IČO]</w:t>
      </w:r>
      <w:r>
        <w:t xml:space="preserve"> · DIČ: </w:t>
      </w:r>
      <w:r>
        <w:rPr>
          <w:highlight w:val="yellow"/>
        </w:rPr>
        <w:t xml:space="preserve">[10 číslic]</w:t>
      </w:r>
      <w:r>
        <w:t xml:space="preserve"> · IČ DPH: </w:t>
      </w:r>
      <w:r>
        <w:rPr>
          <w:highlight w:val="yellow"/>
        </w:rPr>
        <w:t xml:space="preserve">[SK…, ak je platiteľom]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Zápis: </w:t>
      </w:r>
      <w:r>
        <w:rPr>
          <w:highlight w:val="yellow"/>
        </w:rPr>
        <w:t xml:space="preserve">[Obchodný register Mestského súdu …, oddiel …, vložka …]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Koná: </w:t>
      </w:r>
      <w:r>
        <w:rPr>
          <w:highlight w:val="yellow"/>
        </w:rPr>
        <w:t xml:space="preserve">[meno a priezvisko]</w:t>
      </w:r>
      <w:r>
        <w:t xml:space="preserve">, </w:t>
      </w:r>
      <w:r>
        <w:rPr>
          <w:highlight w:val="yellow"/>
        </w:rPr>
        <w:t xml:space="preserve">[konateľ / štatutárny orgán]</w:t>
      </w:r>
    </w:p>
    <w:p>
      <w:pPr>
        <w:keepNext/>
        <w:spacing w:after="120" w:before="120"/>
      </w:pPr>
      <w:r>
        <w:rPr>
          <w:b/>
          <w:bCs/>
        </w:rPr>
        <w:t xml:space="preserve">Splnomocnenec (ďalej „Účtovná kancelária“):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Obchodné meno: </w:t>
      </w:r>
      <w:r>
        <w:rPr>
          <w:highlight w:val="yellow"/>
        </w:rPr>
        <w:t xml:space="preserve">[obchodné meno účtovnej kancelárie]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Sídlo: </w:t>
      </w:r>
      <w:r>
        <w:rPr>
          <w:highlight w:val="yellow"/>
        </w:rPr>
        <w:t xml:space="preserve">[adresa]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IČO: </w:t>
      </w:r>
      <w:r>
        <w:rPr>
          <w:highlight w:val="yellow"/>
        </w:rPr>
        <w:t xml:space="preserve">[IČO]</w:t>
      </w:r>
      <w:r>
        <w:t xml:space="preserve"> · DIČ: </w:t>
      </w:r>
      <w:r>
        <w:rPr>
          <w:highlight w:val="yellow"/>
        </w:rPr>
        <w:t xml:space="preserve">[10 číslic]</w:t>
      </w:r>
      <w:r>
        <w:t xml:space="preserve"> · IČ DPH: </w:t>
      </w:r>
      <w:r>
        <w:rPr>
          <w:highlight w:val="yellow"/>
        </w:rPr>
        <w:t xml:space="preserve">[SK…]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Zápis: </w:t>
      </w:r>
      <w:r>
        <w:rPr>
          <w:highlight w:val="yellow"/>
        </w:rPr>
        <w:t xml:space="preserve">[Obchodný register …]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Koná: </w:t>
      </w:r>
      <w:r>
        <w:rPr>
          <w:highlight w:val="yellow"/>
        </w:rPr>
        <w:t xml:space="preserve">[meno a priezvisko]</w:t>
      </w:r>
      <w:r>
        <w:t xml:space="preserve">, </w:t>
      </w:r>
      <w:r>
        <w:rPr>
          <w:highlight w:val="yellow"/>
        </w:rPr>
        <w:t xml:space="preserve">[konateľ]</w:t>
      </w:r>
    </w:p>
    <w:p>
      <w:pPr>
        <w:keepNext w:val="false"/>
        <w:spacing w:after="120" w:before="120"/>
      </w:pPr>
      <w:r>
        <w:t xml:space="preserve">Poskytovateľom služby je epodatelna24, s. r. o., IČO 57 592 071, DIČ 2122839279, Karpatské námestie 7770/10A, 831 06 Bratislava (ďalej „Poskytovateľ“). Služba sa riadi Všeobecnými obchodnými podmienkami služby ePodatelna24 (ďalej „VOP“) v znení platnom v čase úkonu.</w:t>
      </w:r>
    </w:p>
    <w:p>
      <w:pPr>
        <w:pStyle w:val="Heading2"/>
        <w:keepNext/>
        <w:spacing w:after="120" w:before="280"/>
      </w:pPr>
      <w:r>
        <w:t xml:space="preserve">1. Predmet plnomocenstva</w:t>
      </w:r>
    </w:p>
    <w:p>
      <w:pPr>
        <w:keepNext w:val="false"/>
        <w:spacing w:after="120" w:before="120"/>
      </w:pPr>
      <w:r>
        <w:t xml:space="preserve">Klient splnomocňuje Účtovnú kanceláriu na tieto úkony v jeho mene: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vybrať na portáli Finančnej správy SR službu ePodatelna24 za digitálneho poštára Klienta pre prijímanie a odosielanie elektronických faktúr;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dokončiť aktiváciu služby a v mene Klienta akceptovať VOP, Zásady ochrany osobných údajov a Zmluvu o spracúvaní osobných údajov Poskytovateľa (články 3.4 a 3.5 VOP);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spravovať službu pre Klienta počas trvania plnomocenstva v rozsahu článku 2.</w:t>
      </w:r>
    </w:p>
    <w:p>
      <w:pPr>
        <w:keepNext w:val="false"/>
        <w:spacing w:after="120" w:before="120"/>
      </w:pPr>
      <w:r>
        <w:t xml:space="preserve">Plnomocenstvo sa udeľuje podľa § 31 a nasl. Občianskeho zákonníka. Vzťah medzi Klientom a Účtovnou kanceláriou, najmä odmenu, upravuje </w:t>
      </w:r>
      <w:r>
        <w:rPr>
          <w:highlight w:val="yellow"/>
        </w:rPr>
        <w:t xml:space="preserve">[zmluva o vedení účtovníctva / mandátna zmluva]</w:t>
      </w:r>
      <w:r>
        <w:t xml:space="preserve"> zo dňa </w:t>
      </w:r>
      <w:r>
        <w:rPr>
          <w:highlight w:val="yellow"/>
        </w:rPr>
        <w:t xml:space="preserve">[dátum]</w:t>
      </w:r>
      <w:r>
        <w:t xml:space="preserve"> (ďalej „Zmluva“).</w:t>
      </w:r>
    </w:p>
    <w:p>
      <w:pPr>
        <w:pStyle w:val="Heading2"/>
        <w:keepNext/>
        <w:spacing w:after="120" w:before="280"/>
      </w:pPr>
      <w:r>
        <w:t xml:space="preserve">2. Rozsah oprávnení</w:t>
      </w:r>
    </w:p>
    <w:p>
      <w:pPr>
        <w:keepNext w:val="false"/>
        <w:spacing w:after="120" w:before="120"/>
      </w:pPr>
      <w:r>
        <w:t xml:space="preserve">Účtovná kancelária je v službe ePodatelna24 oprávnená za Klienta: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byť hlavným správcom spoločnosti Klienta podľa článku 3.8 VOP;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prijímať elektronické faktúry a dobropisy adresované Klientovi, sťahovať ich vo formáte XML a PDF a spracúvať ich na účely vedenia účtovníctva Klienta;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vyhotovovať faktúry Klienta z jeho podkladov, a to v účtovnom systéme Účtovnej kancelárie alebo po prihlásení do účtovného systému Klienta;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odosielať faktúry a dobropisy Klienta cez sieť Peppol jednotlivo aj hromadne, vrátane XML súborov, ktoré vyhotovil priamo Klient;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na výslovný pokyn Klienta doručiť faktúru e-mailom, ak ju nemožno doručiť cez sieť Peppol (článok 15.6 VOP);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pripájať cloudové úložisko (OneDrive alebo Google Drive) na ukladanie dokumentov Klienta (článok 17 VOP);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pozvať do služby používateľov Klienta a pracovníkov Účtovnej kancelárie s rolou Administrátor spoločnosti, Operátor alebo Spracovateľ a odobrať im prístup;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zapínať a vypínať funkcie služby vrátane Ochrany proti pokute;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komunikovať s Poskytovateľom vo veciach služby a podpísať reklamácie.</w:t>
      </w:r>
    </w:p>
    <w:p>
      <w:pPr>
        <w:keepNext w:val="false"/>
        <w:spacing w:after="120" w:before="120"/>
      </w:pPr>
      <w:r>
        <w:t xml:space="preserve">Úkony môžu za Účtovnú kanceláriu vykonávať jej zamestnanci. Bez písomného súhlasu Klienta Účtovná kancelária nesmie: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previesť rolu hlavného správcu na inú osobu ako na Klienta alebo osobu, ktorú Klient určí;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ukončiť službu alebo vybrať Klientovi iného digitálneho poštára;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udeliť ďalšie plnomocenstvo tretej osobe.</w:t>
      </w:r>
    </w:p>
    <w:p>
      <w:pPr>
        <w:pStyle w:val="Heading2"/>
        <w:keepNext/>
        <w:spacing w:after="120" w:before="280"/>
      </w:pPr>
      <w:r>
        <w:t xml:space="preserve">3. Poplatky a peňaženka</w:t>
      </w:r>
    </w:p>
    <w:p>
      <w:pPr>
        <w:keepNext w:val="false"/>
        <w:spacing w:after="120" w:before="120"/>
      </w:pPr>
      <w:r>
        <w:t xml:space="preserve">Poplatky za službu hradí Účtovná kancelária z vlastnej peňaženky v službe ePodatelna24. Podľa článku 3.4 písm. d) VOP sa všetky finančné vyrovnania s Poskytovateľom uskutočňujú výlučne s Účtovnou kanceláriou, a faktúry za dobitie peňaženky vystavuje Poskytovateľ jej.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Účtovná kancelária prefakturuje Klientovi poplatky za jeho dokumenty </w:t>
      </w:r>
      <w:r>
        <w:rPr>
          <w:highlight w:val="yellow"/>
        </w:rPr>
        <w:t xml:space="preserve">[podľa Zmluvy / ako súčasť paušálnej odmeny]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Účtovná kancelária udržiava v peňaženke dostatočný zostatok. Pri prázdnej peňaženke sa ďalšie prijaté faktúry zobrazia ako čakajúce na dobitie a odoslanie sa nevykoná (článok 5.9 VOP).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Klient nemá voči Poskytovateľovi žiadnu platobnú povinnosť z titulu tohto plnomocenstva.</w:t>
      </w:r>
    </w:p>
    <w:p>
      <w:pPr>
        <w:pStyle w:val="Heading2"/>
        <w:keepNext/>
        <w:spacing w:after="120" w:before="280"/>
      </w:pPr>
      <w:r>
        <w:t xml:space="preserve">4. Povinnosti strán</w:t>
      </w:r>
    </w:p>
    <w:p>
      <w:pPr>
        <w:keepNext/>
        <w:spacing w:after="120" w:before="120"/>
      </w:pPr>
      <w:r>
        <w:rPr>
          <w:b/>
          <w:bCs/>
        </w:rPr>
        <w:t xml:space="preserve">Klient sa zaväzuje: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odovzdávať podklady na vyhotovenie faktúr a hotové XML faktúry tak, aby ich Účtovná kancelária mohla vyhotoviť a odoslať do 15 dní od dátumu dodania (§ 73 zákona o DPH), najneskôr do </w:t>
      </w:r>
      <w:r>
        <w:rPr>
          <w:highlight w:val="yellow"/>
        </w:rPr>
        <w:t xml:space="preserve">[počet]</w:t>
      </w:r>
      <w:r>
        <w:t xml:space="preserve"> pracovných dní pred uplynutím tejto lehoty;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zodpovedať za správnosť a úplnosť podkladov a XML súborov, ktoré vyhotovil sám;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bezodkladne oznámiť Účtovnej kancelárii zmenu svojich identifikačných údajov.</w:t>
      </w:r>
    </w:p>
    <w:p>
      <w:pPr>
        <w:keepNext/>
        <w:spacing w:after="120" w:before="120"/>
      </w:pPr>
      <w:r>
        <w:rPr>
          <w:b/>
          <w:bCs/>
        </w:rPr>
        <w:t xml:space="preserve">Účtovná kancelária sa zaväzuje: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vyhotoviť a odoslať faktúry Klienta bez zbytočného odkladu a v súlade s jeho podkladmi; za obsahovú správnosť odoslaného XML zodpovedá voči Poskytovateľovi Účtovná kancelária (článok 7.1 písm. e) VOP) a voči Klientovi podľa Zmluvy;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sledovať stav doručenia odoslaných faktúr a bezodkladne informovať Klienta o faktúre, ktorú sa nepodarilo doručiť;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uchovávať alebo Klientovi odovzdávať prijaté aj odoslané dokumenty tak, aby Klient splnil povinnosť archivácie podľa zákona o účtovníctve; služba ePodatelna24 neposkytuje dlhodobú archiváciu (články 7.1 písm. c) a 7.2 VOP);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chrániť prístupové údaje a pozvať do služby len osoby, ktoré pre Klienta pracujú alebo ktoré Klient určil.</w:t>
      </w:r>
    </w:p>
    <w:p>
      <w:pPr>
        <w:keepNext w:val="false"/>
        <w:spacing w:after="120" w:before="120"/>
      </w:pPr>
      <w:r>
        <w:t xml:space="preserve">Účtovná kancelária zodpovedá za úkony vykonané na účte Klienta vrátane úkonov pozvaných používateľov (článok 7.3 VOP).</w:t>
      </w:r>
    </w:p>
    <w:p>
      <w:pPr>
        <w:pStyle w:val="Heading2"/>
        <w:keepNext/>
        <w:spacing w:after="120" w:before="280"/>
      </w:pPr>
      <w:r>
        <w:t xml:space="preserve">5. Osobné údaje a mlčanlivosť</w:t>
      </w:r>
    </w:p>
    <w:p>
      <w:pPr>
        <w:keepNext w:val="false"/>
        <w:spacing w:after="120" w:before="120"/>
      </w:pPr>
      <w:r>
        <w:t xml:space="preserve">Faktúry môžu obsahovať osobné údaje obchodných partnerov Klienta. Účtovná kancelária ich spracúva pre Klienta podľa Zmluvy a podľa článku 9.2 VOP voči Poskytovateľovi vystupuje ako prevádzkovateľ, ktorého sprostredkovateľom je Poskytovateľ.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Klient súhlasí, aby Účtovná kancelária na spracúvanie jeho dokumentov zapojila Poskytovateľa ako ďalšieho sprostredkovateľa (čl. 28 ods. 2 nariadenia GDPR).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Účtovná kancelária zachováva mlčanlivosť o obsahu dokumentov Klienta aj po skončení plnomocenstva.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Prístup k dokumentom Klienta v službe majú len osoby pozvané podľa článku 2 bodu 7.</w:t>
      </w:r>
    </w:p>
    <w:p>
      <w:pPr>
        <w:pStyle w:val="Heading2"/>
        <w:keepNext/>
        <w:spacing w:after="120" w:before="280"/>
      </w:pPr>
      <w:r>
        <w:t xml:space="preserve">6. Trvanie a zánik</w:t>
      </w:r>
    </w:p>
    <w:p>
      <w:pPr>
        <w:keepNext w:val="false"/>
        <w:spacing w:after="120" w:before="120"/>
      </w:pPr>
      <w:r>
        <w:t xml:space="preserve">Plnomocenstvo sa udeľuje na dobu </w:t>
      </w:r>
      <w:r>
        <w:rPr>
          <w:highlight w:val="yellow"/>
        </w:rPr>
        <w:t xml:space="preserve">[neurčitú / do dátumu]</w:t>
      </w:r>
      <w:r>
        <w:t xml:space="preserve">. Zaniká odvolaním Klientom, výpoveďou Účtovnej kancelárie alebo zánikom Zmluvy, a to dňom doručenia písomného oznámenia druhej strane.</w:t>
      </w:r>
    </w:p>
    <w:p>
      <w:pPr>
        <w:keepNext w:val="false"/>
        <w:spacing w:after="120" w:before="120"/>
      </w:pPr>
      <w:r>
        <w:t xml:space="preserve">Pri zániku plnomocenstva Účtovná kancelária do </w:t>
      </w:r>
      <w:r>
        <w:rPr>
          <w:highlight w:val="yellow"/>
        </w:rPr>
        <w:t xml:space="preserve">[30]</w:t>
      </w:r>
      <w:r>
        <w:t xml:space="preserve"> dní: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prevedie rolu hlavného správcu na Klienta alebo na osobu, ktorú Klient určí (článok 3.8 VOP). Prevod sa dokončí až prijatím zo strany nového hlavného správcu a nedá sa začať pri zápornom zostatku peňaženky s faktúrami čakajúcimi na dobitie; takýto stav Účtovná kancelária najprv vyrovná (článok 3.8.2 VOP);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odovzdá Klientovi prijaté aj odoslané dokumenty, ktoré ešte nemá;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odoberie prístup svojim pracovníkom a odpojí svoje cloudové úložisko od spoločnosti Klienta.</w:t>
      </w:r>
    </w:p>
    <w:p>
      <w:pPr>
        <w:keepNext w:val="false"/>
        <w:spacing w:after="120" w:before="120"/>
      </w:pPr>
      <w:r>
        <w:t xml:space="preserve">Peňaženka a jej zostatok zostávajú Účtovnej kancelárii (článok 3.8.1 písm. c) VOP). Klient môže kedykoľvek aj sám zmeniť digitálneho poštára na portáli Finančnej správy SR.</w:t>
      </w:r>
    </w:p>
    <w:p>
      <w:pPr>
        <w:pStyle w:val="Heading2"/>
        <w:keepNext/>
        <w:spacing w:after="120" w:before="280"/>
      </w:pPr>
      <w:r>
        <w:t xml:space="preserve">7. Záverečné ustanovenia</w:t>
      </w:r>
    </w:p>
    <w:p>
      <w:pPr>
        <w:pStyle w:val="ListParagraph"/>
        <w:numPr>
          <w:ilvl w:val="0"/>
          <w:numId w:val="8"/>
        </w:numPr>
        <w:spacing w:after="80"/>
      </w:pPr>
      <w:r>
        <w:t xml:space="preserve">Plnomocenstvo sa riadi právnym poriadkom Slovenskej republiky.</w:t>
      </w:r>
    </w:p>
    <w:p>
      <w:pPr>
        <w:pStyle w:val="ListParagraph"/>
        <w:numPr>
          <w:ilvl w:val="0"/>
          <w:numId w:val="8"/>
        </w:numPr>
        <w:spacing w:after="80"/>
      </w:pPr>
      <w:r>
        <w:t xml:space="preserve">Plnomocenstvo môže byť podpísané vlastnoručne v dvoch vyhotoveniach alebo kvalifikovaným elektronickým podpisom; každá strana dostane jedno vyhotovenie.</w:t>
      </w:r>
    </w:p>
    <w:p>
      <w:pPr>
        <w:pStyle w:val="ListParagraph"/>
        <w:numPr>
          <w:ilvl w:val="0"/>
          <w:numId w:val="8"/>
        </w:numPr>
        <w:spacing w:after="80"/>
      </w:pPr>
      <w:r>
        <w:t xml:space="preserve">Účtovná kancelária plnomocenstvo uchováva po celú dobu správy služby a na požiadanie ho predloží Poskytovateľovi alebo Finančnej správe SR.</w:t>
      </w:r>
    </w:p>
    <w:p>
      <w:pPr>
        <w:spacing w:before="36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160"/>
            </w:pPr>
            <w:r>
              <w:rPr>
                <w:b/>
                <w:bCs/>
              </w:rPr>
              <w:t xml:space="preserve">Za Klienta (splnomocniteľ):</w:t>
            </w:r>
          </w:p>
          <w:p>
            <w:pPr>
              <w:spacing w:after="720"/>
            </w:pPr>
            <w:r>
              <w:t xml:space="preserve">V </w:t>
            </w:r>
            <w:r>
              <w:rPr>
                <w:highlight w:val="yellow"/>
              </w:rPr>
              <w:t xml:space="preserve">[mesto]</w:t>
            </w:r>
            <w:r>
              <w:t xml:space="preserve"> dňa </w:t>
            </w:r>
            <w:r>
              <w:rPr>
                <w:highlight w:val="yellow"/>
              </w:rPr>
              <w:t xml:space="preserve">[dátum]</w:t>
            </w:r>
          </w:p>
          <w:p>
            <w:pPr>
              <w:spacing w:after="60"/>
            </w:pPr>
            <w:r>
              <w:t xml:space="preserve">______________________________</w:t>
            </w:r>
          </w:p>
          <w:p>
            <w:r>
              <w:rPr>
                <w:highlight w:val="yellow"/>
              </w:rPr>
              <w:t xml:space="preserve">[meno a priezvisko, funkcia]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160"/>
            </w:pPr>
            <w:r>
              <w:rPr>
                <w:b/>
                <w:bCs/>
              </w:rPr>
              <w:t xml:space="preserve">Plnomocenstvo prijímam. Za Účtovnú kanceláriu (splnomocnenec):</w:t>
            </w:r>
          </w:p>
          <w:p>
            <w:pPr>
              <w:spacing w:after="720"/>
            </w:pPr>
            <w:r>
              <w:t xml:space="preserve">V </w:t>
            </w:r>
            <w:r>
              <w:rPr>
                <w:highlight w:val="yellow"/>
              </w:rPr>
              <w:t xml:space="preserve">[mesto]</w:t>
            </w:r>
            <w:r>
              <w:t xml:space="preserve"> dňa </w:t>
            </w:r>
            <w:r>
              <w:rPr>
                <w:highlight w:val="yellow"/>
              </w:rPr>
              <w:t xml:space="preserve">[dátum]</w:t>
            </w:r>
          </w:p>
          <w:p>
            <w:pPr>
              <w:spacing w:after="60"/>
            </w:pPr>
            <w:r>
              <w:t xml:space="preserve">______________________________</w:t>
            </w:r>
          </w:p>
          <w:p>
            <w:r>
              <w:rPr>
                <w:highlight w:val="yellow"/>
              </w:rPr>
              <w:t xml:space="preserve">[meno a priezvisko, funkcia]</w:t>
            </w:r>
          </w:p>
        </w:tc>
      </w:tr>
    </w:tbl>
    <w:sectPr>
      <w:footerReference w:type="default" r:id="rId6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Plnomocenstvo · ePodatelna24 · strana </w:t>
    </w:r>
    <w:r>
      <w:rPr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6"/>
        <w:szCs w:val="16"/>
      </w:rPr>
      <w:t xml:space="preserve"> z </w:t>
    </w:r>
    <w:r>
      <w:rPr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6" w:hanging="426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26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923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Plnomocenstvo na správu elektronických faktúr v službe ePodatelna24</dc:title>
  <dc:creator>epodatelna24, s. r. o.</dc:creator>
  <cp:lastModifiedBy>Un-named</cp:lastModifiedBy>
  <cp:revision>1</cp:revision>
  <dcterms:created xsi:type="dcterms:W3CDTF">2026-09-30T16:38:44.235Z</dcterms:created>
  <dcterms:modified xsi:type="dcterms:W3CDTF">2026-09-30T16:38:44.236Z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